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bCs/>
        </w:rPr>
      </w:pPr>
      <w:r>
        <w:rPr>
          <w:rFonts w:cs="Calibri" w:cstheme="minorHAnsi"/>
          <w:b/>
          <w:bCs/>
        </w:rPr>
        <w:t>History and Purpose</w:t>
      </w:r>
    </w:p>
    <w:tbl>
      <w:tblPr>
        <w:tblStyle w:val="GridTable4-Accent3"/>
        <w:tblpPr w:bottomFromText="0" w:horzAnchor="margin" w:leftFromText="180" w:rightFromText="180" w:tblpX="-405" w:tblpY="4121" w:topFromText="0" w:vertAnchor="page"/>
        <w:tblW w:w="15165" w:type="dxa"/>
        <w:jc w:val="left"/>
        <w:tblInd w:w="0" w:type="dxa"/>
        <w:tblCellMar>
          <w:top w:w="0" w:type="dxa"/>
          <w:left w:w="108" w:type="dxa"/>
          <w:bottom w:w="0" w:type="dxa"/>
          <w:right w:w="108" w:type="dxa"/>
        </w:tblCellMar>
        <w:tblLook w:firstRow="1" w:noVBand="1" w:lastRow="0" w:firstColumn="1" w:lastColumn="0" w:noHBand="0" w:val="04a0"/>
      </w:tblPr>
      <w:tblGrid>
        <w:gridCol w:w="2653"/>
        <w:gridCol w:w="2610"/>
        <w:gridCol w:w="2527"/>
        <w:gridCol w:w="2422"/>
        <w:gridCol w:w="2610"/>
        <w:gridCol w:w="2342"/>
      </w:tblGrid>
      <w:tr>
        <w:trPr>
          <w:trHeight w:val="452" w:hRule="atLeast"/>
          <w:cnfStyle w:val="100000000000" w:firstRow="1" w:lastRow="0" w:firstColumn="0" w:lastColumn="0" w:oddVBand="0" w:evenVBand="0" w:oddHBand="0" w:evenHBand="0" w:firstRowFirstColumn="0" w:firstRowLastColumn="0" w:lastRowFirstColumn="0" w:lastRowLastColumn="0"/>
        </w:trPr>
        <w:tc>
          <w:tcPr>
            <w:tcW w:w="2653" w:type="dxa"/>
            <w:cnfStyle w:val="001000000000" w:firstRow="0" w:lastRow="0" w:firstColumn="1" w:lastColumn="0" w:oddVBand="0" w:evenVBand="0" w:oddHBand="0" w:evenHBand="0" w:firstRowFirstColumn="0" w:firstRowLastColumn="0" w:lastRowFirstColumn="0" w:lastRowLastColumn="0"/>
            <w:tcBorders>
              <w:top w:val="single" w:sz="36" w:space="0" w:color="000000"/>
              <w:left w:val="single" w:sz="36" w:space="0" w:color="000000"/>
              <w:bottom w:val="single" w:sz="18" w:space="0" w:color="000000"/>
              <w:right w:val="single" w:sz="36" w:space="0" w:color="000000"/>
            </w:tcBorders>
            <w:shd w:color="auto" w:fill="7F7F7F" w:themeFill="text1" w:themeFillTint="80" w:val="clear"/>
          </w:tcPr>
          <w:p>
            <w:pPr>
              <w:pStyle w:val="Normal"/>
              <w:spacing w:lineRule="auto" w:line="240" w:before="0" w:after="0"/>
              <w:jc w:val="center"/>
              <w:rPr>
                <w:rFonts w:cs="Calibri" w:cstheme="minorHAnsi"/>
                <w:color w:val="auto"/>
                <w:sz w:val="32"/>
                <w:szCs w:val="32"/>
              </w:rPr>
            </w:pPr>
            <w:r>
              <w:rPr>
                <w:rFonts w:cs="Calibri" w:cstheme="minorHAnsi"/>
                <w:b/>
                <w:bCs/>
                <w:color w:val="auto" w:themeColor="background1"/>
                <w:sz w:val="32"/>
                <w:szCs w:val="32"/>
              </w:rPr>
              <w:t>Education</w:t>
            </w:r>
          </w:p>
        </w:tc>
        <w:tc>
          <w:tcPr>
            <w:tcW w:w="2610"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color w:val="auto"/>
                <w:sz w:val="32"/>
                <w:szCs w:val="32"/>
              </w:rPr>
            </w:pPr>
            <w:r>
              <w:rPr>
                <w:rFonts w:cs="Calibri" w:cstheme="minorHAnsi"/>
                <w:b/>
                <w:bCs/>
                <w:color w:val="auto" w:themeColor="background1"/>
                <w:sz w:val="32"/>
                <w:szCs w:val="32"/>
              </w:rPr>
              <w:t>Information</w:t>
            </w:r>
          </w:p>
        </w:tc>
        <w:tc>
          <w:tcPr>
            <w:tcW w:w="2527"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color w:val="auto"/>
                <w:sz w:val="32"/>
                <w:szCs w:val="32"/>
              </w:rPr>
            </w:pPr>
            <w:r>
              <w:rPr>
                <w:rFonts w:cs="Calibri" w:cstheme="minorHAnsi"/>
                <w:b/>
                <w:bCs/>
                <w:color w:val="auto" w:themeColor="background1"/>
                <w:sz w:val="32"/>
                <w:szCs w:val="32"/>
              </w:rPr>
              <w:t>Awareness</w:t>
            </w:r>
          </w:p>
        </w:tc>
        <w:tc>
          <w:tcPr>
            <w:tcW w:w="2422"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color w:val="auto"/>
                <w:sz w:val="32"/>
                <w:szCs w:val="32"/>
              </w:rPr>
            </w:pPr>
            <w:r>
              <w:rPr>
                <w:rFonts w:cs="Calibri" w:cstheme="minorHAnsi"/>
                <w:b/>
                <w:bCs/>
                <w:color w:val="auto" w:themeColor="background1"/>
                <w:sz w:val="32"/>
                <w:szCs w:val="32"/>
              </w:rPr>
              <w:t>Collaboration</w:t>
            </w:r>
          </w:p>
        </w:tc>
        <w:tc>
          <w:tcPr>
            <w:tcW w:w="2610"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color w:val="auto"/>
                <w:sz w:val="24"/>
                <w:szCs w:val="24"/>
              </w:rPr>
            </w:pPr>
            <w:r>
              <w:rPr>
                <w:rFonts w:cs="Calibri" w:cstheme="minorHAnsi"/>
                <w:b/>
                <w:bCs/>
                <w:color w:val="auto" w:themeColor="background1"/>
                <w:sz w:val="24"/>
                <w:szCs w:val="24"/>
              </w:rPr>
              <w:t>Career Development</w:t>
            </w:r>
          </w:p>
        </w:tc>
        <w:tc>
          <w:tcPr>
            <w:tcW w:w="2342"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color w:val="auto"/>
                <w:sz w:val="32"/>
                <w:szCs w:val="32"/>
              </w:rPr>
            </w:pPr>
            <w:r>
              <w:rPr>
                <w:rFonts w:cs="Calibri" w:cstheme="minorHAnsi"/>
                <w:b/>
                <w:bCs/>
                <w:color w:val="auto" w:themeColor="background1"/>
                <w:sz w:val="32"/>
                <w:szCs w:val="32"/>
              </w:rPr>
              <w:t>Finance</w:t>
            </w:r>
          </w:p>
        </w:tc>
      </w:tr>
      <w:tr>
        <w:trPr>
          <w:trHeight w:val="1701" w:hRule="atLeast"/>
          <w:cnfStyle w:val="000000100000" w:firstRow="0" w:lastRow="0" w:firstColumn="0" w:lastColumn="0" w:oddVBand="0" w:evenVBand="0" w:oddHBand="1" w:evenHBand="0" w:firstRowFirstColumn="0" w:firstRowLastColumn="0" w:lastRowFirstColumn="0" w:lastRowLastColumn="0"/>
        </w:trPr>
        <w:tc>
          <w:tcPr>
            <w:tcW w:w="2653" w:type="dxa"/>
            <w:cnfStyle w:val="001000000000" w:firstRow="0" w:lastRow="0" w:firstColumn="1" w:lastColumn="0" w:oddVBand="0" w:evenVBand="0" w:oddHBand="0" w:evenHBand="0" w:firstRowFirstColumn="0" w:firstRowLastColumn="0" w:lastRowFirstColumn="0" w:lastRowLastColumn="0"/>
            <w:tcBorders>
              <w:top w:val="single" w:sz="18" w:space="0" w:color="000000"/>
              <w:left w:val="single" w:sz="18" w:space="0" w:color="000000"/>
              <w:bottom w:val="single" w:sz="18" w:space="0" w:color="000000"/>
              <w:right w:val="single" w:sz="18" w:space="0" w:color="000000"/>
            </w:tcBorders>
            <w:shd w:color="auto" w:fill="FFFFFF" w:themeFill="background1" w:val="clear"/>
          </w:tcPr>
          <w:p>
            <w:pPr>
              <w:pStyle w:val="Normal"/>
              <w:spacing w:lineRule="auto" w:line="240" w:before="0" w:after="0"/>
              <w:jc w:val="center"/>
              <w:rPr>
                <w:rFonts w:cs="Calibri" w:cstheme="minorHAnsi"/>
                <w:b w:val="false"/>
                <w:b w:val="false"/>
                <w:bCs w:val="false"/>
                <w:sz w:val="20"/>
                <w:szCs w:val="20"/>
              </w:rPr>
            </w:pPr>
            <w:r>
              <w:rPr>
                <w:rFonts w:cs="Calibri" w:cstheme="minorHAnsi"/>
                <w:b w:val="false"/>
                <w:bCs w:val="false"/>
                <w:sz w:val="20"/>
                <w:szCs w:val="20"/>
              </w:rPr>
              <w:t>To provide professional education and best practice through sponsorship, educational conferences, scientific meetings and publications.</w:t>
            </w:r>
          </w:p>
        </w:tc>
        <w:tc>
          <w:tcPr>
            <w:tcW w:w="2610" w:type="dxa"/>
            <w:tcBorders>
              <w:top w:val="single" w:sz="36" w:space="0" w:color="000000"/>
              <w:left w:val="single" w:sz="18" w:space="0" w:color="000000"/>
              <w:bottom w:val="single" w:sz="12" w:space="0" w:color="000000"/>
              <w:right w:val="single" w:sz="12" w:space="0" w:color="000000"/>
            </w:tcBorders>
            <w:shd w:color="auto" w:fill="EDEDED" w:themeFill="accent3"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Calibri" w:cstheme="minorHAnsi"/>
                <w:sz w:val="20"/>
                <w:szCs w:val="20"/>
              </w:rPr>
            </w:pPr>
            <w:r>
              <w:rPr>
                <w:rFonts w:cs="Calibri" w:cstheme="minorHAnsi"/>
                <w:sz w:val="20"/>
                <w:szCs w:val="20"/>
              </w:rPr>
              <w:t>To provide a forum for information exchange through a resource center which proactively communicates with healthcare professionals to effect delivery of quality.</w:t>
            </w:r>
          </w:p>
        </w:tc>
        <w:tc>
          <w:tcPr>
            <w:tcW w:w="2527" w:type="dxa"/>
            <w:tcBorders>
              <w:top w:val="single" w:sz="36" w:space="0" w:color="000000"/>
              <w:left w:val="single" w:sz="12" w:space="0" w:color="000000"/>
              <w:bottom w:val="single" w:sz="12" w:space="0" w:color="000000"/>
              <w:right w:val="single" w:sz="12" w:space="0" w:color="000000"/>
            </w:tcBorders>
            <w:shd w:color="auto" w:fill="EDEDED" w:themeFill="accent3"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Calibri" w:cstheme="minorHAnsi"/>
                <w:sz w:val="20"/>
                <w:szCs w:val="20"/>
              </w:rPr>
            </w:pPr>
            <w:r>
              <w:rPr>
                <w:rFonts w:cs="Calibri" w:cstheme="minorHAnsi"/>
                <w:sz w:val="20"/>
                <w:szCs w:val="20"/>
              </w:rPr>
              <w:t>To promote, throughout the public, sector understanding and awareness of preventive and rehabilitative health care services.</w:t>
            </w:r>
          </w:p>
        </w:tc>
        <w:tc>
          <w:tcPr>
            <w:tcW w:w="2422" w:type="dxa"/>
            <w:tcBorders>
              <w:top w:val="single" w:sz="36" w:space="0" w:color="000000"/>
              <w:left w:val="single" w:sz="12" w:space="0" w:color="000000"/>
              <w:bottom w:val="single" w:sz="12" w:space="0" w:color="000000"/>
              <w:right w:val="single" w:sz="12" w:space="0" w:color="000000"/>
            </w:tcBorders>
            <w:shd w:color="auto" w:fill="EDEDED" w:themeFill="accent3"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Calibri" w:cstheme="minorHAnsi"/>
                <w:sz w:val="20"/>
                <w:szCs w:val="20"/>
              </w:rPr>
            </w:pPr>
            <w:r>
              <w:rPr>
                <w:rFonts w:cs="Calibri" w:cstheme="minorHAnsi"/>
                <w:sz w:val="20"/>
                <w:szCs w:val="20"/>
              </w:rPr>
              <w:t>To cooperate and/or collaborate with other organizations, including CVPR research, having interests similar to those of the Association.</w:t>
            </w:r>
          </w:p>
        </w:tc>
        <w:tc>
          <w:tcPr>
            <w:tcW w:w="2610" w:type="dxa"/>
            <w:tcBorders>
              <w:top w:val="single" w:sz="36" w:space="0" w:color="000000"/>
              <w:left w:val="single" w:sz="12" w:space="0" w:color="000000"/>
              <w:bottom w:val="single" w:sz="12" w:space="0" w:color="000000"/>
              <w:right w:val="single" w:sz="12" w:space="0" w:color="000000"/>
            </w:tcBorders>
            <w:shd w:color="auto" w:fill="EDEDED" w:themeFill="accent3"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Calibri" w:cstheme="minorHAnsi"/>
                <w:sz w:val="20"/>
                <w:szCs w:val="20"/>
              </w:rPr>
            </w:pPr>
            <w:r>
              <w:rPr>
                <w:rFonts w:cs="Calibri" w:cstheme="minorHAnsi"/>
                <w:sz w:val="20"/>
                <w:szCs w:val="20"/>
              </w:rPr>
              <w:t>To promote ways and means to enhance career development for the Association’s members.</w:t>
            </w:r>
          </w:p>
        </w:tc>
        <w:tc>
          <w:tcPr>
            <w:tcW w:w="2342" w:type="dxa"/>
            <w:tcBorders>
              <w:top w:val="single" w:sz="36" w:space="0" w:color="000000"/>
              <w:left w:val="single" w:sz="12" w:space="0" w:color="000000"/>
              <w:bottom w:val="single" w:sz="12" w:space="0" w:color="000000"/>
              <w:right w:val="single" w:sz="12" w:space="0" w:color="000000"/>
            </w:tcBorders>
            <w:shd w:color="auto" w:fill="EDEDED" w:themeFill="accent3"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Calibri" w:cstheme="minorHAnsi"/>
                <w:sz w:val="20"/>
                <w:szCs w:val="20"/>
              </w:rPr>
            </w:pPr>
            <w:r>
              <w:rPr>
                <w:rFonts w:cs="Calibri" w:cstheme="minorHAnsi"/>
                <w:sz w:val="20"/>
                <w:szCs w:val="20"/>
              </w:rPr>
              <w:t>To remain fiscally responsible for producing an annual positive bottom line.</w:t>
            </w:r>
          </w:p>
        </w:tc>
      </w:tr>
      <w:tr>
        <w:trPr>
          <w:trHeight w:val="4643" w:hRule="atLeast"/>
        </w:trPr>
        <w:tc>
          <w:tcPr>
            <w:tcW w:w="2653" w:type="dxa"/>
            <w:cnfStyle w:val="001000000000" w:firstRow="0" w:lastRow="0" w:firstColumn="1" w:lastColumn="0" w:oddVBand="0" w:evenVBand="0" w:oddHBand="0" w:evenHBand="0" w:firstRowFirstColumn="0" w:firstRowLastColumn="0" w:lastRowFirstColumn="0" w:lastRowLastColumn="0"/>
            <w:tcBorders>
              <w:top w:val="single" w:sz="18"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 xml:space="preserve">Annual conference providing CEUs </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 xml:space="preserve">Promo materials &amp; CEU relationship </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 xml:space="preserve">Promoting AACVPR educational events </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National/WPS MAC information</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Best practice</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AACVPR Delegate Award (one per year)</w:t>
            </w:r>
          </w:p>
          <w:p>
            <w:pPr>
              <w:pStyle w:val="ListParagraph"/>
              <w:numPr>
                <w:ilvl w:val="0"/>
                <w:numId w:val="1"/>
              </w:numPr>
              <w:spacing w:lineRule="auto" w:line="240" w:before="0" w:after="0"/>
              <w:ind w:left="360" w:hanging="360"/>
              <w:contextualSpacing/>
              <w:rPr>
                <w:rFonts w:cs="Calibri" w:cstheme="minorHAnsi"/>
                <w:b w:val="false"/>
                <w:b w:val="false"/>
                <w:bCs w:val="false"/>
                <w:sz w:val="20"/>
                <w:szCs w:val="20"/>
              </w:rPr>
            </w:pPr>
            <w:r>
              <w:rPr>
                <w:rFonts w:cs="Calibri" w:cstheme="minorHAnsi"/>
                <w:b w:val="false"/>
                <w:bCs w:val="false"/>
                <w:sz w:val="20"/>
                <w:szCs w:val="20"/>
              </w:rPr>
              <w:t>Link to competencies in newsletter and AACVPR website</w:t>
            </w:r>
          </w:p>
        </w:tc>
        <w:tc>
          <w:tcPr>
            <w:tcW w:w="2610" w:type="dxa"/>
            <w:tcBorders>
              <w:top w:val="single" w:sz="12"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 xml:space="preserve">Refer AACVPR PR (link) &amp; outcomes tool kit </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IN Program directory</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 xml:space="preserve">Annual conference </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Quarterly newsletters &amp; reimbursement updates</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ISCVPR committee contacts (?)</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 xml:space="preserve">Exhibitors and sponsors at conference </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Promoting program certification (Provide resources)</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rPr>
            </w:pPr>
            <w:r>
              <w:rPr>
                <w:rFonts w:cs="Calibri" w:cstheme="minorHAnsi"/>
                <w:sz w:val="20"/>
                <w:szCs w:val="20"/>
              </w:rPr>
              <w:t>Achieve 50% IN program membership</w:t>
            </w:r>
          </w:p>
        </w:tc>
        <w:tc>
          <w:tcPr>
            <w:tcW w:w="2527" w:type="dxa"/>
            <w:tcBorders>
              <w:top w:val="single" w:sz="12"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DOTH</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Grassroots Campaigning Platforms ISCVPR newsletter and website, refresh social media</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Update Indiana program directory every 2 years</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Utilize collaborative relationships for education</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pPr>
            <w:r>
              <w:rPr>
                <w:rFonts w:cs="Calibri" w:cstheme="minorHAnsi"/>
                <w:sz w:val="20"/>
                <w:szCs w:val="20"/>
              </w:rPr>
              <w:t xml:space="preserve">Effective utilization of </w:t>
            </w:r>
            <w:hyperlink r:id="rId2">
              <w:r>
                <w:rPr>
                  <w:rStyle w:val="InternetLink"/>
                  <w:rFonts w:cs="Calibri" w:cstheme="minorHAnsi"/>
                  <w:sz w:val="20"/>
                  <w:szCs w:val="20"/>
                </w:rPr>
                <w:t>www.iscvpr.org</w:t>
              </w:r>
            </w:hyperlink>
            <w:r>
              <w:rPr>
                <w:rFonts w:cs="Calibri" w:cstheme="minorHAnsi"/>
                <w:sz w:val="20"/>
                <w:szCs w:val="20"/>
              </w:rPr>
              <w:t xml:space="preserve"> </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18"/>
                <w:szCs w:val="18"/>
              </w:rPr>
            </w:pPr>
            <w:r>
              <w:rPr>
                <w:rFonts w:cs="Calibri" w:cstheme="minorHAnsi"/>
                <w:sz w:val="20"/>
                <w:szCs w:val="20"/>
              </w:rPr>
              <w:t>Education tools for physicians and administrative utilization</w:t>
            </w:r>
          </w:p>
        </w:tc>
        <w:tc>
          <w:tcPr>
            <w:tcW w:w="2422" w:type="dxa"/>
            <w:tcBorders>
              <w:top w:val="single" w:sz="12"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AACVPR</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AARC</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ALA</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AHA</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ACSM</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CEPA</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ISRC</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MAC Liaison</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18"/>
                <w:szCs w:val="18"/>
              </w:rPr>
            </w:pPr>
            <w:r>
              <w:rPr>
                <w:rFonts w:cs="Calibri" w:cstheme="minorHAnsi"/>
                <w:sz w:val="20"/>
                <w:szCs w:val="20"/>
              </w:rPr>
              <w:t>Virtual and in person BOD opportunities for membership</w:t>
            </w:r>
          </w:p>
        </w:tc>
        <w:tc>
          <w:tcPr>
            <w:tcW w:w="2610" w:type="dxa"/>
            <w:tcBorders>
              <w:top w:val="single" w:sz="12"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Develop Leadership Succession</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Participation in Organizational Committees</w:t>
            </w:r>
          </w:p>
          <w:p>
            <w:pPr>
              <w:pStyle w:val="Normal"/>
              <w:spacing w:lineRule="auto" w:line="240" w:before="0" w:after="0"/>
              <w:ind w:left="360" w:hanging="0"/>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-Annual Meeting</w:t>
            </w:r>
          </w:p>
          <w:p>
            <w:pPr>
              <w:pStyle w:val="Normal"/>
              <w:spacing w:lineRule="auto" w:line="240" w:before="0" w:after="0"/>
              <w:ind w:left="360" w:hanging="0"/>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-Social Media</w:t>
            </w:r>
          </w:p>
          <w:p>
            <w:pPr>
              <w:pStyle w:val="Normal"/>
              <w:spacing w:lineRule="auto" w:line="240" w:before="0" w:after="0"/>
              <w:ind w:left="360" w:hanging="0"/>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-Reimbursement</w:t>
            </w:r>
          </w:p>
          <w:p>
            <w:pPr>
              <w:pStyle w:val="Normal"/>
              <w:spacing w:lineRule="auto" w:line="240" w:before="0" w:after="0"/>
              <w:ind w:left="360" w:hanging="0"/>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-Website</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Facilitate internship opportunities for students</w:t>
            </w:r>
          </w:p>
        </w:tc>
        <w:tc>
          <w:tcPr>
            <w:tcW w:w="2342" w:type="dxa"/>
            <w:tcBorders>
              <w:top w:val="single" w:sz="12" w:space="0" w:color="000000"/>
              <w:left w:val="single" w:sz="12" w:space="0" w:color="000000"/>
              <w:bottom w:val="single" w:sz="18" w:space="0" w:color="000000"/>
              <w:right w:val="single" w:sz="12" w:space="0" w:color="000000"/>
            </w:tcBorders>
            <w:shd w:color="auto" w:fill="D0CECE" w:themeFill="background2" w:themeFillShade="e6" w:val="clear"/>
          </w:tcPr>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Maintain nonprofit status</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Maintain fiscal integrity</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Travel guidelines</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Quarterly financial review</w:t>
            </w:r>
          </w:p>
          <w:p>
            <w:pPr>
              <w:pStyle w:val="ListParagraph"/>
              <w:numPr>
                <w:ilvl w:val="0"/>
                <w:numId w:val="1"/>
              </w:numPr>
              <w:spacing w:lineRule="auto" w:line="240" w:before="0" w:after="0"/>
              <w:ind w:left="360" w:hanging="360"/>
              <w:contextualSpacing/>
              <w:cnfStyle w:val="000000000000" w:firstRow="0" w:lastRow="0" w:firstColumn="0" w:lastColumn="0" w:oddVBand="0" w:evenVBand="0" w:oddHBand="0" w:evenHBand="0" w:firstRowFirstColumn="0" w:firstRowLastColumn="0" w:lastRowFirstColumn="0" w:lastRowLastColumn="0"/>
              <w:rPr>
                <w:rFonts w:cs="Calibri" w:cstheme="minorHAnsi"/>
                <w:sz w:val="20"/>
                <w:szCs w:val="20"/>
              </w:rPr>
            </w:pPr>
            <w:r>
              <w:rPr>
                <w:rFonts w:cs="Calibri" w:cstheme="minorHAnsi"/>
                <w:sz w:val="20"/>
                <w:szCs w:val="20"/>
              </w:rPr>
              <w:t>Develop and grow relationships with sponsors and exhibitors</w:t>
            </w:r>
          </w:p>
        </w:tc>
      </w:tr>
    </w:tbl>
    <w:p>
      <w:pPr>
        <w:pStyle w:val="Normal"/>
        <w:jc w:val="center"/>
        <w:rPr>
          <w:rFonts w:cs="Calibri" w:cstheme="minorHAnsi"/>
        </w:rPr>
      </w:pPr>
      <w:r>
        <w:rPr>
          <w:rFonts w:cs="Calibri" w:cstheme="minorHAnsi"/>
        </w:rPr>
        <w:t>Founded in 1987, the Indiana Society of Cardiovascular and Pulmonary Rehabilitation (ISCVPR) is dedicated to the improvement of clinical practice, promotion of scientific inquiry, and advancement of education for the benefit of healthcare professionals and the public.</w:t>
      </w:r>
    </w:p>
    <w:p>
      <w:pPr>
        <w:pStyle w:val="Normal"/>
        <w:jc w:val="center"/>
        <w:rPr>
          <w:rFonts w:cs="Calibri" w:cstheme="minorHAnsi"/>
          <w:b/>
          <w:b/>
          <w:bCs/>
        </w:rPr>
      </w:pPr>
      <w:r>
        <w:rPr>
          <w:rFonts w:cs="Calibri" w:cstheme="minorHAnsi"/>
          <w:b/>
          <w:bCs/>
        </w:rPr>
        <w:t>Mission</w:t>
      </w:r>
    </w:p>
    <w:p>
      <w:pPr>
        <w:pStyle w:val="Normal"/>
        <w:jc w:val="center"/>
        <w:rPr>
          <w:rFonts w:cs="Calibri" w:cstheme="minorHAnsi"/>
        </w:rPr>
      </w:pPr>
      <w:r>
        <w:rPr>
          <w:rFonts w:cs="Calibri" w:cstheme="minorHAnsi"/>
        </w:rPr>
        <w:t>The Indiana Society of Cardiovascular and Pulmonary Rehabilitation is dedicated to the enhancement of primary and secondary prevention and disease management through the clinical practice, communication, and education.</w:t>
      </w:r>
    </w:p>
    <w:tbl>
      <w:tblPr>
        <w:tblStyle w:val="TableGrid"/>
        <w:tblW w:w="9150" w:type="dxa"/>
        <w:jc w:val="left"/>
        <w:tblInd w:w="2600" w:type="dxa"/>
        <w:tblCellMar>
          <w:top w:w="0" w:type="dxa"/>
          <w:left w:w="108" w:type="dxa"/>
          <w:bottom w:w="0" w:type="dxa"/>
          <w:right w:w="108" w:type="dxa"/>
        </w:tblCellMar>
        <w:tblLook w:firstRow="1" w:noVBand="1" w:lastRow="0" w:firstColumn="1" w:lastColumn="0" w:noHBand="0" w:val="04a0"/>
      </w:tblPr>
      <w:tblGrid>
        <w:gridCol w:w="9150"/>
      </w:tblGrid>
      <w:tr>
        <w:trPr>
          <w:trHeight w:val="603" w:hRule="atLeast"/>
        </w:trPr>
        <w:tc>
          <w:tcPr>
            <w:tcW w:w="9150" w:type="dxa"/>
            <w:tcBorders>
              <w:top w:val="single" w:sz="36" w:space="0" w:color="000000"/>
              <w:left w:val="single" w:sz="36" w:space="0" w:color="000000"/>
              <w:bottom w:val="single" w:sz="36" w:space="0" w:color="000000"/>
              <w:right w:val="single" w:sz="36" w:space="0" w:color="000000"/>
            </w:tcBorders>
            <w:shd w:color="auto" w:fill="7F7F7F" w:themeFill="text1" w:themeFillTint="80"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ISCVPR</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2021-2024 Road Map</w:t>
            </w:r>
          </w:p>
        </w:tc>
      </w:tr>
    </w:tbl>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orient="landscape" w:w="15840" w:h="122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92a6e"/>
    <w:rPr>
      <w:color w:val="0563C1" w:themeColor="hyperlink"/>
      <w:u w:val="single"/>
    </w:rPr>
  </w:style>
  <w:style w:type="character" w:styleId="UnresolvedMention1" w:customStyle="1">
    <w:name w:val="Unresolved Mention1"/>
    <w:basedOn w:val="DefaultParagraphFont"/>
    <w:uiPriority w:val="99"/>
    <w:semiHidden/>
    <w:unhideWhenUsed/>
    <w:qFormat/>
    <w:rsid w:val="00592a6e"/>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Calibri"/>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Calibri"/>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Calibri"/>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alibri" w:cstheme="minorHAnsi"/>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d6af2"/>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d6a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bd6af2"/>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bd6af2"/>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scvpr.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FC6B4BE07144994BD00ABBE1C0C74" ma:contentTypeVersion="7" ma:contentTypeDescription="Create a new document." ma:contentTypeScope="" ma:versionID="fde696aef82f9e4b539ee647e8c10a52">
  <xsd:schema xmlns:xsd="http://www.w3.org/2001/XMLSchema" xmlns:xs="http://www.w3.org/2001/XMLSchema" xmlns:p="http://schemas.microsoft.com/office/2006/metadata/properties" xmlns:ns3="0b72df13-88d0-4ff2-8c6a-ced770021634" xmlns:ns4="bde85d54-b2a9-4cb6-92e7-5999dabfdb32" targetNamespace="http://schemas.microsoft.com/office/2006/metadata/properties" ma:root="true" ma:fieldsID="01bcc18a8d615332f61b1c86b5c0f7b0" ns3:_="" ns4:_="">
    <xsd:import namespace="0b72df13-88d0-4ff2-8c6a-ced770021634"/>
    <xsd:import namespace="bde85d54-b2a9-4cb6-92e7-5999dabfd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2df13-88d0-4ff2-8c6a-ced7700216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85d54-b2a9-4cb6-92e7-5999dabfd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FB5C-24AD-42D4-B8A9-3622267A56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E9CB71-55A7-4C5D-9548-188967BFF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2df13-88d0-4ff2-8c6a-ced770021634"/>
    <ds:schemaRef ds:uri="bde85d54-b2a9-4cb6-92e7-5999dabfd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7D9AF-9867-4A7B-81A6-36AAB13DC8B0}">
  <ds:schemaRefs>
    <ds:schemaRef ds:uri="http://schemas.microsoft.com/sharepoint/v3/contenttype/forms"/>
  </ds:schemaRefs>
</ds:datastoreItem>
</file>

<file path=customXml/itemProps4.xml><?xml version="1.0" encoding="utf-8"?>
<ds:datastoreItem xmlns:ds="http://schemas.openxmlformats.org/officeDocument/2006/customXml" ds:itemID="{6DF4AB91-FB9D-4BD1-9728-D22282C5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LibreOffice/6.2.3.2$Windows_X86_64 LibreOffice_project/aecc05fe267cc68dde00352a451aa867b3b546ac</Application>
  <Pages>2</Pages>
  <Words>370</Words>
  <Characters>2289</Characters>
  <CharactersWithSpaces>2568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2022-06-01T19:53:00Z</dcterms:created>
  <dc:creator>Stephanie M Morris</dc:creator>
  <dc:description/>
  <dc:language>en-US</dc:language>
  <cp:lastModifiedBy>Dan Bauman</cp:lastModifiedBy>
  <cp:lastPrinted>2021-05-23T22:32:00Z</cp:lastPrinted>
  <dcterms:modified xsi:type="dcterms:W3CDTF">2022-06-01T19:54:00Z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0x010100269FC6B4BE07144994BD00ABBE1C0C74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